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r>
        <w:rPr>
          <w:rFonts w:hint="eastAsia" w:hAnsi="宋体"/>
          <w:b/>
          <w:bCs/>
          <w:sz w:val="24"/>
          <w:szCs w:val="24"/>
          <w:highlight w:val="yellow"/>
        </w:rPr>
        <w:t>合</w:t>
      </w:r>
      <w:r>
        <w:rPr>
          <w:rFonts w:hint="eastAsia" w:ascii="宋体" w:hAnsi="宋体" w:cs="Courier New"/>
          <w:b/>
          <w:bCs/>
          <w:sz w:val="24"/>
          <w:szCs w:val="24"/>
          <w:highlight w:val="yellow"/>
        </w:rPr>
        <w:t>并(分立)公告</w:t>
      </w:r>
    </w:p>
    <w:bookmarkEnd w:id="0"/>
    <w:p>
      <w:pPr>
        <w:rPr>
          <w:rFonts w:hint="eastAsia" w:hAnsi="宋体"/>
          <w:sz w:val="24"/>
          <w:szCs w:val="24"/>
          <w:highlight w:val="yellow"/>
        </w:rPr>
      </w:pPr>
    </w:p>
    <w:p>
      <w:pPr>
        <w:ind w:firstLine="480" w:firstLineChars="200"/>
      </w:pPr>
      <w:r>
        <w:rPr>
          <w:rFonts w:hint="eastAsia" w:hAnsi="宋体"/>
          <w:sz w:val="24"/>
          <w:szCs w:val="24"/>
          <w:highlight w:val="yellow"/>
        </w:rPr>
        <w:t>合</w:t>
      </w:r>
      <w:r>
        <w:rPr>
          <w:rFonts w:hint="eastAsia" w:ascii="宋体" w:hAnsi="宋体" w:cs="Courier New"/>
          <w:sz w:val="24"/>
          <w:szCs w:val="24"/>
          <w:highlight w:val="yellow"/>
        </w:rPr>
        <w:t>并(分立)公告应当包括：合并(分立)各方的名称，合并(分立)形式，合并(分立)前后各</w:t>
      </w:r>
      <w:r>
        <w:rPr>
          <w:rFonts w:hint="eastAsia" w:ascii="宋体" w:hAnsi="宋体" w:cs="Courier New"/>
          <w:sz w:val="24"/>
          <w:highlight w:val="yellow"/>
        </w:rPr>
        <w:t>公司的注册</w:t>
      </w:r>
      <w:r>
        <w:rPr>
          <w:rFonts w:hint="eastAsia" w:hAnsi="宋体"/>
          <w:sz w:val="24"/>
          <w:highlight w:val="yellow"/>
        </w:rPr>
        <w:t>资本。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70CD"/>
    <w:rsid w:val="324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Administrator</cp:lastModifiedBy>
  <dcterms:modified xsi:type="dcterms:W3CDTF">2019-06-19T06:51:44Z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